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9" w:rsidRPr="00744E09" w:rsidRDefault="00744E09" w:rsidP="00744E09">
      <w:pPr>
        <w:pStyle w:val="a3"/>
        <w:spacing w:line="360" w:lineRule="auto"/>
        <w:jc w:val="center"/>
        <w:rPr>
          <w:b/>
          <w:i/>
        </w:rPr>
      </w:pPr>
      <w:r w:rsidRPr="00744E09">
        <w:rPr>
          <w:b/>
          <w:i/>
          <w:sz w:val="27"/>
          <w:szCs w:val="27"/>
        </w:rPr>
        <w:t>Как и на что обратить внимание при подготовке ребенка к школе?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>МАТЕМАТИКА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>
        <w:rPr>
          <w:sz w:val="27"/>
          <w:szCs w:val="27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>
        <w:rPr>
          <w:sz w:val="27"/>
          <w:szCs w:val="27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ЧТЕНИЕ 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>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>РАЗГОВОРНАЯ РЕЧЬ</w:t>
      </w:r>
    </w:p>
    <w:p w:rsidR="00744E09" w:rsidRDefault="00744E09" w:rsidP="00744E09">
      <w:pPr>
        <w:pStyle w:val="a3"/>
        <w:spacing w:line="360" w:lineRule="auto"/>
        <w:jc w:val="both"/>
      </w:pPr>
      <w:proofErr w:type="gramStart"/>
      <w:r>
        <w:rPr>
          <w:sz w:val="27"/>
          <w:szCs w:val="27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>
        <w:rPr>
          <w:sz w:val="27"/>
          <w:szCs w:val="27"/>
        </w:rP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</w:t>
      </w:r>
      <w:r>
        <w:rPr>
          <w:sz w:val="27"/>
          <w:szCs w:val="27"/>
        </w:rPr>
        <w:lastRenderedPageBreak/>
        <w:t xml:space="preserve">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 xml:space="preserve">есъедобное, одушевлённое -неодушевлённое. 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>ОБЩИЙ КРУГОЗОР</w:t>
      </w:r>
    </w:p>
    <w:p w:rsidR="00744E09" w:rsidRDefault="00744E09" w:rsidP="00744E09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 </w:t>
      </w:r>
    </w:p>
    <w:p w:rsidR="00BC3C64" w:rsidRDefault="00744E09" w:rsidP="00744E09">
      <w:pPr>
        <w:jc w:val="both"/>
      </w:pPr>
    </w:p>
    <w:sectPr w:rsidR="00BC3C64" w:rsidSect="00744E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4E09"/>
    <w:rsid w:val="002A29FC"/>
    <w:rsid w:val="00491D96"/>
    <w:rsid w:val="00744E09"/>
    <w:rsid w:val="00BC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Organization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2016-01-12T14:25:00Z</dcterms:created>
  <dcterms:modified xsi:type="dcterms:W3CDTF">2016-01-12T14:26:00Z</dcterms:modified>
</cp:coreProperties>
</file>